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Этноконфессиональный паспорт муниципального образования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«Волочаевское сельское поселение»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  <w:lang w:val="ru-RU"/>
        </w:rPr>
        <w:t xml:space="preserve">по состоянию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на 1 января 201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  <w:lang w:val="en-US"/>
        </w:rPr>
        <w:t>9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года)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I.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Общий блок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Дата основания: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1929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Площадь территории МО (км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):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716,7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 т.ч. занятые с/х угодьями: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505,7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 т.ч. занятые землями лесного фонда: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 т.ч. занятые землями населенных пунктов: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0,0196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населенных пунктов: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II.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Этнодемографические процессы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Национальный состав населения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74"/>
        <w:gridCol w:w="6945"/>
      </w:tblGrid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Национальность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человек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русские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20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еченцы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23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8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даргинцы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18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дагестанцы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Армяне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азербайджанцы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34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/>
              <w:t>цыгане</w:t>
            </w:r>
          </w:p>
        </w:tc>
        <w:tc>
          <w:tcPr>
            <w:tcW w:w="6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Половозрастной состав населения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: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Мужчин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663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Женщин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72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Моложе трудоспособного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191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Трудоспособное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04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Старше трудоспособного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Браки и разводы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7337"/>
        <w:gridCol w:w="3082"/>
      </w:tblGrid>
      <w:tr>
        <w:trPr>
          <w:trHeight w:val="1" w:hRule="atLeast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зарегистрированных браков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расторгнутых браков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зарегистрированных браков лиц разной национальности (межнациональные браки)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Причины смерти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Причина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Насильственная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Естественная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Суицид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Травмы несовместимые с жизнью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III.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Миграционные процессы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Число прибывших/выбывших всего, и по национальному составу</w:t>
      </w:r>
    </w:p>
    <w:tbl>
      <w:tblPr>
        <w:tblW w:w="10205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03"/>
        <w:gridCol w:w="3402"/>
        <w:gridCol w:w="3400"/>
      </w:tblGrid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прибывших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lang w:val="en-US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lang w:val="ru-RU"/>
              </w:rPr>
              <w:t>этнических групп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выбывших/этнических групп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Русские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чеченцы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цыгане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3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Число прибывших/выбывших в пределах России</w:t>
      </w:r>
    </w:p>
    <w:tbl>
      <w:tblPr>
        <w:tblW w:w="10205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03"/>
        <w:gridCol w:w="3402"/>
        <w:gridCol w:w="3400"/>
      </w:tblGrid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Наименование региона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прибывших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выбывших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Чеченская республика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Число прибывших/выбывших из-за пределов России</w:t>
      </w:r>
    </w:p>
    <w:tbl>
      <w:tblPr>
        <w:tblW w:w="10205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03"/>
        <w:gridCol w:w="3402"/>
        <w:gridCol w:w="3400"/>
      </w:tblGrid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Наименование региона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прибывших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выбывших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8753"/>
        <w:gridCol w:w="1666"/>
      </w:tblGrid>
      <w:tr>
        <w:trPr>
          <w:trHeight w:val="1" w:hRule="atLeast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отходников (выезжающих из муниципального образования)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1080" w:right="0" w:hanging="72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IV.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Некоммерческие организации, сформированные по этническому признаку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Полное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 территории поселения некоммерческие организации отсутствуют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Краткое 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Форма некоммерческой организации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Национальная принадлежность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Список учредителей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Наименование учредителя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членов некоммерческой организации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активных членов некоммерческой организации</w:t>
            </w:r>
          </w:p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Ф.И.О. руководителя/руководителей, должность</w:t>
            </w:r>
          </w:p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Юридический адрес</w:t>
            </w:r>
          </w:p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Фактический адрес</w:t>
            </w:r>
          </w:p>
          <w:p>
            <w:pPr>
              <w:pStyle w:val="Normal"/>
              <w:tabs>
                <w:tab w:val="left" w:pos="1287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Национально-культурные автономии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Вид автономии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Полное 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Краткое 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Национальная принадлежность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членов автономии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активных членов автономии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Ф.И.О. руководителя/руководителей, должность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Юридический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Фактический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Казачьи общества, зарегистрированные в установленном законодательством РФ порядке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Наименование казачьего общества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Вид казачьего общества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Атаман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Принадлежность к районному (юртовому) и/или окружному (отдельскому) казачьему обществу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Кол-во членов казачьего общества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Юридический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Фактический адрес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Общественные объединения казаков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Кол-во членов общественного казачьего объединения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Ф.И.О. руководителя/руководителей, должность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Юридический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Фактический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регулярно проводимых культурно-массовых мероприятий (событий)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Перечень мероприятий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10421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73"/>
        <w:gridCol w:w="3474"/>
        <w:gridCol w:w="3474"/>
      </w:tblGrid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Как предмет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/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Как язык обучения</w:t>
            </w:r>
          </w:p>
        </w:tc>
      </w:tr>
      <w:tr>
        <w:trPr>
          <w:trHeight w:val="1" w:hRule="atLeast"/>
        </w:trPr>
        <w:tc>
          <w:tcPr>
            <w:tcW w:w="104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V.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Религиозные объединения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Религиозные организации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Вид религиозной организации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Полное 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Конфессиональная принадлежность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прихожан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активных прихожан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Ф.И.О. руководителя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Юридический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Фактический адрес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Информация о культовом сооружении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Тип культового сооружения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здание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Площадь (кв. м)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739,2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Право собственности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владение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Религиозные группы</w:t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Полное наименование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Конфессиональная принадлежность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Ф.И.О. лидера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последователей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Место проведения молитвенных собраний/отправления культов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Духовные образования</w:t>
      </w:r>
    </w:p>
    <w:tbl>
      <w:tblPr>
        <w:tblW w:w="10421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3473"/>
        <w:gridCol w:w="3474"/>
        <w:gridCol w:w="3474"/>
      </w:tblGrid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учащихся</w:t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Духовные семинарии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Школы и гимназии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Медресе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Прочие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>VI.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Социально-экономический потенциал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жителей, занятых в отраслях экономики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42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безработных жителей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28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учреждений здравоохранения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общеобразовательных учреждений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tabs>
                <w:tab w:val="left" w:pos="1376" w:leader="none"/>
              </w:tabs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учащихся в образовательных учреждениях</w:t>
            </w:r>
          </w:p>
          <w:p>
            <w:pPr>
              <w:pStyle w:val="Normal"/>
              <w:tabs>
                <w:tab w:val="left" w:pos="1376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Общий объем промышленного производства (млн.руб.)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сельскохозяйственного производства (млн.руб.)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136,110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Средний размер уровня оплаты труда (тыс.руб./мес.)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zCs w:val="22"/>
                <w:highlight w:val="white"/>
              </w:rPr>
              <w:t>28140,1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Доходы муниципального бюджета (млн. руб.)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  <w:vertAlign w:val="superscript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  <w:t>8,787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Расходы муниципального бюджета (млн. руб.)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  <w:t>9,867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  <w:lang w:val="en-US"/>
        </w:rPr>
        <w:t xml:space="preserve">VII.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Конфликты и профилактика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r>
    </w:p>
    <w:tbl>
      <w:tblPr>
        <w:tblW w:w="10420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0" w:type="dxa"/>
          <w:bottom w:w="0" w:type="dxa"/>
          <w:right w:w="50" w:type="dxa"/>
        </w:tblCellMar>
      </w:tblPr>
      <w:tblGrid>
        <w:gridCol w:w="5211"/>
        <w:gridCol w:w="5208"/>
      </w:tblGrid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Проведенные мероприятий в рамках муниципальных программ, направленных на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гармонизацию межнациональных отношений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Проведение тематических занятий , направленных на укрепление межнациональных,межкультурных отношений, проведение конкурсов рисунков, сочинений, проведение мероприятий,направленных на профилактику агрессивного поведения школьников,проведение различных спортивных ,культурно-массовых мероприятий.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89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Рассмотрение на сходах граждан вопросов об опасности терроризма, о формах и методах предупреждения террористических угроз, распространение листовок антитеррористической направленности.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участников конфликтных ситуаций, имевших место в сфере межрелигиозных 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государственно-конфессиональных отношениях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Количество случаев привлечения к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ответственности граждан по статье 282 УК РФ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Число привлеченных к ответственности по статье 282 УК РФ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08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LibreOffice/5.2.0.4$Windows_X86_64 LibreOffice_project/066b007f5ebcc236395c7d282ba488bca6720265</Application>
  <Pages>7</Pages>
  <Words>756</Words>
  <Characters>6159</Characters>
  <CharactersWithSpaces>6680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2019-01-17T14:46:06Z</cp:lastPrinted>
  <dcterms:modified xsi:type="dcterms:W3CDTF">2019-01-17T14:46:12Z</dcterms:modified>
  <cp:revision>3</cp:revision>
  <dc:subject/>
  <dc:title/>
</cp:coreProperties>
</file>