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B07" w:rsidRPr="00C90B07" w:rsidRDefault="00C90B07" w:rsidP="00C90B07">
      <w:pPr>
        <w:spacing w:after="0"/>
        <w:ind w:left="4395"/>
        <w:rPr>
          <w:rFonts w:ascii="Times New Roman" w:hAnsi="Times New Roman" w:cs="Times New Roman"/>
        </w:rPr>
      </w:pPr>
      <w:r w:rsidRPr="00C90B07">
        <w:rPr>
          <w:rFonts w:ascii="Times New Roman" w:hAnsi="Times New Roman" w:cs="Times New Roman"/>
        </w:rPr>
        <w:t>Приложение №</w:t>
      </w:r>
      <w:r>
        <w:rPr>
          <w:rFonts w:ascii="Times New Roman" w:hAnsi="Times New Roman" w:cs="Times New Roman"/>
        </w:rPr>
        <w:t>5</w:t>
      </w:r>
    </w:p>
    <w:p w:rsidR="00C90B07" w:rsidRPr="00C90B07" w:rsidRDefault="00C90B07" w:rsidP="00C90B07">
      <w:pPr>
        <w:spacing w:after="0"/>
        <w:ind w:left="4395"/>
        <w:rPr>
          <w:rFonts w:ascii="Times New Roman" w:hAnsi="Times New Roman" w:cs="Times New Roman"/>
        </w:rPr>
      </w:pPr>
      <w:r w:rsidRPr="00C90B07">
        <w:rPr>
          <w:rFonts w:ascii="Times New Roman" w:hAnsi="Times New Roman" w:cs="Times New Roman"/>
        </w:rPr>
        <w:t>к Порядку учета бюджетных и денежных обязательств получателей средств бюджета Волочаевского сельского поселения Орловского района территориальным отделом № 56 УФК по Ростовской области</w:t>
      </w:r>
    </w:p>
    <w:p w:rsidR="00D95103" w:rsidRDefault="00D95103" w:rsidP="00ED7811">
      <w:pPr>
        <w:jc w:val="center"/>
      </w:pPr>
    </w:p>
    <w:p w:rsidR="00C90B07" w:rsidRDefault="00C90B07" w:rsidP="00ED7811">
      <w:pPr>
        <w:jc w:val="center"/>
      </w:pPr>
    </w:p>
    <w:p w:rsidR="009C4AEB" w:rsidRPr="00ED7811" w:rsidRDefault="009C4AEB" w:rsidP="00ED7811">
      <w:pPr>
        <w:jc w:val="center"/>
        <w:rPr>
          <w:rFonts w:ascii="Times New Roman" w:hAnsi="Times New Roman" w:cs="Times New Roman"/>
          <w:sz w:val="24"/>
          <w:szCs w:val="24"/>
        </w:rPr>
      </w:pPr>
      <w:r w:rsidRPr="00ED7811">
        <w:rPr>
          <w:rFonts w:ascii="Times New Roman" w:hAnsi="Times New Roman" w:cs="Times New Roman"/>
          <w:sz w:val="24"/>
          <w:szCs w:val="24"/>
        </w:rPr>
        <w:t>Реквизиты</w:t>
      </w:r>
    </w:p>
    <w:p w:rsidR="009C4AEB" w:rsidRPr="00ED7811" w:rsidRDefault="009C4AEB" w:rsidP="00ED7811">
      <w:pPr>
        <w:jc w:val="center"/>
        <w:rPr>
          <w:rFonts w:ascii="Times New Roman" w:hAnsi="Times New Roman" w:cs="Times New Roman"/>
          <w:sz w:val="24"/>
          <w:szCs w:val="24"/>
        </w:rPr>
      </w:pPr>
      <w:r w:rsidRPr="00ED7811">
        <w:rPr>
          <w:rFonts w:ascii="Times New Roman" w:hAnsi="Times New Roman" w:cs="Times New Roman"/>
          <w:sz w:val="24"/>
          <w:szCs w:val="24"/>
        </w:rPr>
        <w:t>отчетного документа Информация о принятых на учет</w:t>
      </w:r>
    </w:p>
    <w:p w:rsidR="009C4AEB" w:rsidRPr="00ED7811" w:rsidRDefault="009C4AEB" w:rsidP="00ED7811">
      <w:pPr>
        <w:jc w:val="center"/>
        <w:rPr>
          <w:rFonts w:ascii="Times New Roman" w:hAnsi="Times New Roman" w:cs="Times New Roman"/>
          <w:sz w:val="24"/>
          <w:szCs w:val="24"/>
        </w:rPr>
      </w:pPr>
      <w:r w:rsidRPr="00ED7811">
        <w:rPr>
          <w:rFonts w:ascii="Times New Roman" w:hAnsi="Times New Roman" w:cs="Times New Roman"/>
          <w:sz w:val="24"/>
          <w:szCs w:val="24"/>
        </w:rPr>
        <w:t>_________________________ обязательствах</w:t>
      </w:r>
    </w:p>
    <w:p w:rsidR="009C4AEB" w:rsidRPr="00ED7811" w:rsidRDefault="009C4AEB" w:rsidP="00ED7811">
      <w:pPr>
        <w:jc w:val="center"/>
        <w:rPr>
          <w:rFonts w:ascii="Times New Roman" w:hAnsi="Times New Roman" w:cs="Times New Roman"/>
          <w:sz w:val="24"/>
          <w:szCs w:val="24"/>
        </w:rPr>
      </w:pPr>
      <w:r w:rsidRPr="00ED7811">
        <w:rPr>
          <w:rFonts w:ascii="Times New Roman" w:hAnsi="Times New Roman" w:cs="Times New Roman"/>
          <w:sz w:val="24"/>
          <w:szCs w:val="24"/>
        </w:rPr>
        <w:t>(бюджетных, денежных)</w:t>
      </w:r>
    </w:p>
    <w:p w:rsidR="009C4AEB" w:rsidRPr="00ED7811" w:rsidRDefault="009C4AEB" w:rsidP="009C4AEB">
      <w:pPr>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3965"/>
        <w:gridCol w:w="1251"/>
        <w:gridCol w:w="3798"/>
      </w:tblGrid>
      <w:tr w:rsidR="009C4AEB" w:rsidRPr="00ED7811">
        <w:tc>
          <w:tcPr>
            <w:tcW w:w="5216" w:type="dxa"/>
            <w:gridSpan w:val="2"/>
            <w:tcBorders>
              <w:bottom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Единица измерения: руб.</w:t>
            </w:r>
          </w:p>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(с точностью до второго десятичного знака)</w:t>
            </w:r>
          </w:p>
        </w:tc>
        <w:tc>
          <w:tcPr>
            <w:tcW w:w="3798" w:type="dxa"/>
            <w:tcBorders>
              <w:bottom w:val="single" w:sz="4" w:space="0" w:color="auto"/>
            </w:tcBorders>
            <w:vAlign w:val="bottom"/>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Периодичность: месячная</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Наименование реквизита</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Правила формирования, заполнения реквизита</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1</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2</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1. Дата</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указанными в запросе детализацией и группировкой показателей.</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2. Наименование органа Федерального казначейства</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наименование территориального органа Федерального казначейства.</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3. Код органа Федерального казначейства (КОФК)</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код органа Федерального казначейства, присвоенный Федеральным казначейством.</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4. Вид отчета</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простой, сводный.</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5. Главный распорядитель (распорядитель) бюджетных средств</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 xml:space="preserve">Указывается наименование главного распорядителя (распорядителя) бюджетных средств по находящимся в ведении главного распорядителя (распорядителя) средств федерального бюджета получателям средств </w:t>
            </w:r>
            <w:r w:rsidRPr="00ED7811">
              <w:rPr>
                <w:rFonts w:ascii="Times New Roman" w:hAnsi="Times New Roman" w:cs="Times New Roman"/>
                <w:sz w:val="24"/>
                <w:szCs w:val="24"/>
              </w:rPr>
              <w:lastRenderedPageBreak/>
              <w:t>федерального бюджета.</w:t>
            </w:r>
          </w:p>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При формировании Информации о принятых на учет обязательствах в целом по всем получателям средств федерального бюджета реквизит "Главный распорядитель (распорядитель) бюджетных средств" не заполняется.</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lastRenderedPageBreak/>
              <w:t>5.1. Глава по бюджетной классификации</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глава по бюджетной классификации главного распорядителя (распорядителя) бюджетных средств по находящимся в ведении главного распорядителя (распорядителя) средств федерального бюджета получателям средств федерального бюджета.</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5.2. Код по Сводному реестру</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код по реестру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6. Наименование бюджета</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наименование бюджета.</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 xml:space="preserve">7. Код по </w:t>
            </w:r>
            <w:hyperlink r:id="rId4" w:history="1">
              <w:r w:rsidRPr="00ED7811">
                <w:rPr>
                  <w:rStyle w:val="a3"/>
                  <w:rFonts w:ascii="Times New Roman" w:hAnsi="Times New Roman" w:cs="Times New Roman"/>
                  <w:sz w:val="24"/>
                  <w:szCs w:val="24"/>
                </w:rPr>
                <w:t>ОКТМО</w:t>
              </w:r>
            </w:hyperlink>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 xml:space="preserve">Указывается код по Общероссийскому </w:t>
            </w:r>
            <w:hyperlink r:id="rId5" w:history="1">
              <w:r w:rsidRPr="00ED7811">
                <w:rPr>
                  <w:rStyle w:val="a3"/>
                  <w:rFonts w:ascii="Times New Roman" w:hAnsi="Times New Roman" w:cs="Times New Roman"/>
                  <w:sz w:val="24"/>
                  <w:szCs w:val="24"/>
                </w:rPr>
                <w:t>классификатору</w:t>
              </w:r>
            </w:hyperlink>
            <w:r w:rsidRPr="00ED7811">
              <w:rPr>
                <w:rFonts w:ascii="Times New Roman" w:hAnsi="Times New Roman" w:cs="Times New Roman"/>
                <w:sz w:val="24"/>
                <w:szCs w:val="24"/>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8. Финансовый орган</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наименование финансового органа.</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8.1. Код по ОКПО</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код финансового органа по Общероссийскому классификатору предприятий и организаций.</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9. Наименование участника бюджетного процесса</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наименование участника бюджетного процесса (получателя средств федерального бюджета).</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lastRenderedPageBreak/>
              <w:t>9.1. Код по Сводному реестру</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код участника бюджетного процесса (получателя средств федерального бюджета) по Сводному реестру.</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10. Код по бюджетной классификации</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составная часть кода бюджетной классификации Российской Федерации, по которому в органе Федерального казначейства учтено бюджетное или денежное обязательство (глава, раздел, подраздел, целевая статья, вид расходов). Степень детализации 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федерального бюджета бюджетных или денежных обязательствах, устанавливается Министерством финансов Российской Федерации, главными распорядителями или распорядителями средств федерального бюджета, по запросу которых формируется Информация о принятых на учет обязательствах.</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 xml:space="preserve">11. Код валюты по </w:t>
            </w:r>
            <w:hyperlink r:id="rId6" w:history="1">
              <w:r w:rsidRPr="00ED7811">
                <w:rPr>
                  <w:rStyle w:val="a3"/>
                  <w:rFonts w:ascii="Times New Roman" w:hAnsi="Times New Roman" w:cs="Times New Roman"/>
                  <w:sz w:val="24"/>
                  <w:szCs w:val="24"/>
                </w:rPr>
                <w:t>ОКВ</w:t>
              </w:r>
            </w:hyperlink>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 xml:space="preserve">Указывается код валюты, в которой принято бюджетное или денежное обязательство, в соответствии с Общероссийским </w:t>
            </w:r>
            <w:hyperlink r:id="rId7" w:history="1">
              <w:r w:rsidRPr="00ED7811">
                <w:rPr>
                  <w:rStyle w:val="a3"/>
                  <w:rFonts w:ascii="Times New Roman" w:hAnsi="Times New Roman" w:cs="Times New Roman"/>
                  <w:sz w:val="24"/>
                  <w:szCs w:val="24"/>
                </w:rPr>
                <w:t>классификатором</w:t>
              </w:r>
            </w:hyperlink>
            <w:r w:rsidRPr="00ED7811">
              <w:rPr>
                <w:rFonts w:ascii="Times New Roman" w:hAnsi="Times New Roman" w:cs="Times New Roman"/>
                <w:sz w:val="24"/>
                <w:szCs w:val="24"/>
              </w:rPr>
              <w:t xml:space="preserve"> валют.</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12. Уникальный код объекта капитального строительства или объекта недвижимого имущества (код мероприятия по информатизации)</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13. Сумма неисполненного обязательства прошлых лет</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 xml:space="preserve">Отражаются суммы неисполненных обязательств прошлых лет в разрезе кодов по бюджетной классификации, уникальных кодов объектов капитального строительства или </w:t>
            </w:r>
            <w:r w:rsidRPr="00ED7811">
              <w:rPr>
                <w:rFonts w:ascii="Times New Roman" w:hAnsi="Times New Roman" w:cs="Times New Roman"/>
                <w:sz w:val="24"/>
                <w:szCs w:val="24"/>
              </w:rPr>
              <w:lastRenderedPageBreak/>
              <w:t>объектов недвижимого имущества и кодов мероприятий информатизации (при наличии).</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lastRenderedPageBreak/>
              <w:t>14. Сумма на 20__ текущий финансовый год с помесячной разбивкой</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Отражаются суммы принятых бюджетных или денежных обязательств за счет средств федерального бюджета в валюте Российской Федерации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 Если бюджетное или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 Указывается итоговая сумма бюджетных или денежных обязательств текущего финансового года и в разрезе каждого месяца текущего финансового года.</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15. Сумма на плановый период с разбивкой по годам</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Указываются суммы бюджетных или денежных обязательств, принятые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16. Сумма на период после текущего финансового года на третий год после текущего финансового года</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16.1. Сумма на последующие периоды после третьего года после текущего финансового года</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 xml:space="preserve">Указываются суммы бюджетных или денежных обязательств, принятые на последующие годы после третьего года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w:t>
            </w:r>
            <w:r w:rsidRPr="00ED7811">
              <w:rPr>
                <w:rFonts w:ascii="Times New Roman" w:hAnsi="Times New Roman" w:cs="Times New Roman"/>
                <w:sz w:val="24"/>
                <w:szCs w:val="24"/>
              </w:rPr>
              <w:lastRenderedPageBreak/>
              <w:t>мероприятий информатизации (при наличии).</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lastRenderedPageBreak/>
              <w:t>17. Итого по коду бюджетной классификации</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итоговая сумма бюджетных или денежных обязательств группировочно по всем кодам бюджетной классификации Российской Федерации, указанным в отчете.</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18. Итого по участнику бюджетного процесса</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Указываются итоговые суммы бюджетных или денежных обязательств в целом по главному распорядителю средств федерального бюджета, по всем или по отдельным распорядителям средств федерального бюджета либо по отдельным получателям средств федерального бюджета, как определено в запросе Министерства финансов Российской Федерации, главного распорядителя или распорядителя средств федерального бюджета соответственно. В случае формирования Информации о принятых на учет обязательствах в целом по получателям средств федерального бюджета строка "Итого по участнику бюджетного процесса" не заполняется.</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19. Всего</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Указываются итоговые суммы бюджетных или денежных обязательств.</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20. Ответственный исполнитель</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Указываются должность, подпись, расшифровка подписи, телефон ответственного исполнителя, сформировавшего отчет.</w:t>
            </w:r>
          </w:p>
        </w:tc>
      </w:tr>
      <w:tr w:rsidR="009C4AEB" w:rsidRPr="00ED7811">
        <w:tc>
          <w:tcPr>
            <w:tcW w:w="3965" w:type="dxa"/>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21. Дата</w:t>
            </w:r>
          </w:p>
        </w:tc>
        <w:tc>
          <w:tcPr>
            <w:tcW w:w="5049" w:type="dxa"/>
            <w:gridSpan w:val="2"/>
            <w:tcBorders>
              <w:top w:val="single" w:sz="4" w:space="0" w:color="auto"/>
              <w:left w:val="single" w:sz="4" w:space="0" w:color="auto"/>
              <w:bottom w:val="single" w:sz="4" w:space="0" w:color="auto"/>
              <w:right w:val="single" w:sz="4" w:space="0" w:color="auto"/>
            </w:tcBorders>
          </w:tcPr>
          <w:p w:rsidR="009C4AEB" w:rsidRPr="00ED7811" w:rsidRDefault="009C4AEB" w:rsidP="009C4AEB">
            <w:pPr>
              <w:rPr>
                <w:rFonts w:ascii="Times New Roman" w:hAnsi="Times New Roman" w:cs="Times New Roman"/>
                <w:sz w:val="24"/>
                <w:szCs w:val="24"/>
              </w:rPr>
            </w:pPr>
            <w:r w:rsidRPr="00ED7811">
              <w:rPr>
                <w:rFonts w:ascii="Times New Roman" w:hAnsi="Times New Roman" w:cs="Times New Roman"/>
                <w:sz w:val="24"/>
                <w:szCs w:val="24"/>
              </w:rPr>
              <w:t>Указывается дата подписания отчета.</w:t>
            </w:r>
          </w:p>
        </w:tc>
      </w:tr>
    </w:tbl>
    <w:p w:rsidR="009C4AEB" w:rsidRPr="00ED7811" w:rsidRDefault="009C4AEB" w:rsidP="009C4AEB">
      <w:pPr>
        <w:rPr>
          <w:rFonts w:ascii="Times New Roman" w:hAnsi="Times New Roman" w:cs="Times New Roman"/>
          <w:sz w:val="24"/>
          <w:szCs w:val="24"/>
        </w:rPr>
      </w:pPr>
    </w:p>
    <w:p w:rsidR="00E2383F" w:rsidRPr="00ED7811" w:rsidRDefault="00E2383F">
      <w:pPr>
        <w:rPr>
          <w:rFonts w:ascii="Times New Roman" w:hAnsi="Times New Roman" w:cs="Times New Roman"/>
          <w:sz w:val="24"/>
          <w:szCs w:val="24"/>
        </w:rPr>
      </w:pPr>
    </w:p>
    <w:sectPr w:rsidR="00E2383F" w:rsidRPr="00ED7811" w:rsidSect="001552E3">
      <w:pgSz w:w="11905" w:h="16838"/>
      <w:pgMar w:top="1134" w:right="567"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A24147"/>
    <w:rsid w:val="00082EF9"/>
    <w:rsid w:val="00091714"/>
    <w:rsid w:val="000B1AEC"/>
    <w:rsid w:val="00214D53"/>
    <w:rsid w:val="00265F08"/>
    <w:rsid w:val="008D5296"/>
    <w:rsid w:val="009C4AEB"/>
    <w:rsid w:val="00A24147"/>
    <w:rsid w:val="00A66C10"/>
    <w:rsid w:val="00C90B07"/>
    <w:rsid w:val="00D1064B"/>
    <w:rsid w:val="00D95103"/>
    <w:rsid w:val="00E2383F"/>
    <w:rsid w:val="00ED7811"/>
    <w:rsid w:val="00F93A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A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C4AE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C4AEB"/>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B47F12F735D8853A4B3C1432E1CC414B6D7C6BE396C02589304CE96515945D96C232718BE57210619B0580A1E93E41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47F12F735D8853A4B3C1432E1CC414B6D7C6BE396C02589304CE96515945D96C232718BE57210619B0580A1E93E41L" TargetMode="External"/><Relationship Id="rId5" Type="http://schemas.openxmlformats.org/officeDocument/2006/relationships/hyperlink" Target="consultantplus://offline/ref=B47F12F735D8853A4B3C1432E1CC414B6F7C6AEB95C12589304CE96515945D96C232718BE57210619B0580A1E93E41L" TargetMode="External"/><Relationship Id="rId10" Type="http://schemas.microsoft.com/office/2007/relationships/stylesWithEffects" Target="stylesWithEffects.xml"/><Relationship Id="rId4" Type="http://schemas.openxmlformats.org/officeDocument/2006/relationships/hyperlink" Target="consultantplus://offline/ref=B47F12F735D8853A4B3C1432E1CC414B6F7C6AEB95C12589304CE96515945D96C232718BE57210619B0580A1E93E41L"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1230</Words>
  <Characters>7013</Characters>
  <Application>Microsoft Office Word</Application>
  <DocSecurity>0</DocSecurity>
  <Lines>58</Lines>
  <Paragraphs>16</Paragraphs>
  <ScaleCrop>false</ScaleCrop>
  <Company/>
  <LinksUpToDate>false</LinksUpToDate>
  <CharactersWithSpaces>8227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2022-02-03T11:57:00Z</dcterms:created>
  <dcterms:modified xsi:type="dcterms:W3CDTF">2023-01-11T15:38:00Z</dcterms:modified>
</cp:coreProperties>
</file>